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D8" w:rsidRPr="00893893" w:rsidRDefault="00312BD8" w:rsidP="00312BD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</w:t>
      </w:r>
      <w:r w:rsidR="000207D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</w:t>
      </w:r>
      <w:permStart w:id="419392833" w:edGrp="everyone"/>
    </w:p>
    <w:p w:rsidR="00312BD8" w:rsidRDefault="00312BD8" w:rsidP="00312BD8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</w:t>
      </w:r>
      <w:r w:rsidR="00B01850">
        <w:rPr>
          <w:rFonts w:ascii="Tahoma" w:hAnsi="Tahoma" w:cs="Tahoma"/>
          <w:sz w:val="20"/>
          <w:szCs w:val="20"/>
        </w:rPr>
        <w:t xml:space="preserve">                               </w:t>
      </w:r>
      <w:r w:rsidRPr="007973C1">
        <w:rPr>
          <w:rFonts w:ascii="Tahoma" w:hAnsi="Tahoma" w:cs="Tahoma"/>
          <w:sz w:val="20"/>
          <w:szCs w:val="20"/>
        </w:rPr>
        <w:t>Приложение №</w:t>
      </w:r>
      <w:r w:rsidR="002B58E9">
        <w:rPr>
          <w:rFonts w:ascii="Tahoma" w:hAnsi="Tahoma" w:cs="Tahoma"/>
          <w:sz w:val="20"/>
          <w:szCs w:val="20"/>
        </w:rPr>
        <w:t xml:space="preserve"> 5</w:t>
      </w:r>
      <w:r w:rsidR="0079322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  </w:t>
      </w:r>
      <w:r w:rsidRPr="007973C1">
        <w:rPr>
          <w:rFonts w:ascii="Tahoma" w:hAnsi="Tahoma" w:cs="Tahoma"/>
          <w:sz w:val="20"/>
          <w:szCs w:val="20"/>
        </w:rPr>
        <w:t xml:space="preserve">к </w:t>
      </w:r>
    </w:p>
    <w:p w:rsidR="0079322A" w:rsidRDefault="00312BD8" w:rsidP="0079322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</w:t>
      </w:r>
      <w:r w:rsidR="00B01850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 xml:space="preserve"> </w:t>
      </w:r>
      <w:r w:rsidRPr="007973C1">
        <w:rPr>
          <w:rFonts w:ascii="Tahoma" w:hAnsi="Tahoma" w:cs="Tahoma"/>
          <w:sz w:val="20"/>
          <w:szCs w:val="20"/>
        </w:rPr>
        <w:t xml:space="preserve">Договору </w:t>
      </w:r>
      <w:r w:rsidR="00386FB8">
        <w:rPr>
          <w:rFonts w:ascii="Tahoma" w:hAnsi="Tahoma" w:cs="Tahoma"/>
          <w:sz w:val="20"/>
          <w:szCs w:val="20"/>
        </w:rPr>
        <w:t>№______</w:t>
      </w:r>
    </w:p>
    <w:p w:rsidR="0079322A" w:rsidRPr="007973C1" w:rsidRDefault="0079322A" w:rsidP="0079322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312BD8" w:rsidRPr="007973C1" w:rsidRDefault="0079322A" w:rsidP="000207D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</w:t>
      </w:r>
      <w:r w:rsidR="002B58E9">
        <w:rPr>
          <w:rFonts w:ascii="Tahoma" w:hAnsi="Tahoma" w:cs="Tahoma"/>
          <w:sz w:val="20"/>
          <w:szCs w:val="20"/>
        </w:rPr>
        <w:t xml:space="preserve">202    </w:t>
      </w:r>
      <w:r w:rsidR="00312BD8" w:rsidRPr="007973C1">
        <w:rPr>
          <w:rFonts w:ascii="Tahoma" w:hAnsi="Tahoma" w:cs="Tahoma"/>
          <w:sz w:val="20"/>
          <w:szCs w:val="20"/>
        </w:rPr>
        <w:t>г</w:t>
      </w:r>
    </w:p>
    <w:permEnd w:id="419392833"/>
    <w:p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Требования к промышленной безопасности и охране труда</w:t>
      </w:r>
    </w:p>
    <w:p w:rsidR="00F11329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Общие положения</w:t>
      </w:r>
    </w:p>
    <w:p w:rsidR="00F11329" w:rsidRPr="00F11329" w:rsidRDefault="00F11329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1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1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и привлекаемых им третьих лиц следовать данной политике. </w:t>
      </w:r>
    </w:p>
    <w:p w:rsidR="00374C26" w:rsidRPr="00F11329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F11329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на территории Объекта Заказчика.</w:t>
      </w: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Ответственность за третьих лиц, привлеченных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в ходе исполнения обязательств по Договору, возлагается на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(третьим </w:t>
      </w:r>
      <w:proofErr w:type="gramStart"/>
      <w:r w:rsidRPr="00F11329">
        <w:rPr>
          <w:rFonts w:ascii="Tahoma" w:hAnsi="Tahoma" w:cs="Tahoma"/>
          <w:kern w:val="32"/>
          <w:sz w:val="20"/>
          <w:szCs w:val="20"/>
        </w:rPr>
        <w:t>лицом)  требований</w:t>
      </w:r>
      <w:proofErr w:type="gramEnd"/>
      <w:r w:rsidRPr="00F11329">
        <w:rPr>
          <w:rFonts w:ascii="Tahoma" w:hAnsi="Tahoma" w:cs="Tahoma"/>
          <w:kern w:val="32"/>
          <w:sz w:val="20"/>
          <w:szCs w:val="20"/>
        </w:rPr>
        <w:t xml:space="preserve"> ПБ и ОТ, Заказчик и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Исполнитель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согласуют план и сроки устранения таких нарушений.  </w:t>
      </w:r>
      <w:proofErr w:type="spellStart"/>
      <w:r w:rsidRPr="00F11329">
        <w:rPr>
          <w:rFonts w:ascii="Tahoma" w:hAnsi="Tahoma" w:cs="Tahoma"/>
          <w:kern w:val="32"/>
          <w:sz w:val="20"/>
          <w:szCs w:val="20"/>
        </w:rPr>
        <w:t>Неустранение</w:t>
      </w:r>
      <w:proofErr w:type="spellEnd"/>
      <w:r w:rsidRPr="00F11329">
        <w:rPr>
          <w:rFonts w:ascii="Tahoma" w:hAnsi="Tahoma" w:cs="Tahoma"/>
          <w:kern w:val="32"/>
          <w:sz w:val="20"/>
          <w:szCs w:val="20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, связанных с таким расторжением. </w:t>
      </w:r>
    </w:p>
    <w:p w:rsidR="00374C26" w:rsidRPr="004D092B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Требования к средствам индивидуальной защиты (далее - СИЗ)</w:t>
      </w:r>
    </w:p>
    <w:p w:rsidR="00F11329" w:rsidRPr="00F11329" w:rsidRDefault="00F11329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 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Весь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должен быть, обеспечен  сертифицированными спецодеждой, </w:t>
      </w:r>
      <w:proofErr w:type="spellStart"/>
      <w:r w:rsidRPr="004D092B">
        <w:rPr>
          <w:rFonts w:ascii="Tahoma" w:eastAsia="Times New Roman" w:hAnsi="Tahoma" w:cs="Tahoma"/>
          <w:kern w:val="32"/>
          <w:sz w:val="20"/>
          <w:szCs w:val="20"/>
        </w:rPr>
        <w:t>спецобувью</w:t>
      </w:r>
      <w:proofErr w:type="spellEnd"/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374C26" w:rsidRPr="00592341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Среди них, применительно к конкретной профессии: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 рук, ног;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:rsidR="003E711C" w:rsidRDefault="00374C26" w:rsidP="003E711C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</w:t>
      </w:r>
    </w:p>
    <w:p w:rsidR="00374C26" w:rsidRDefault="00374C26" w:rsidP="003E711C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374C26" w:rsidRPr="00592341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Обучение и аттестация персонала </w:t>
      </w:r>
      <w:r w:rsidR="001D5B9A" w:rsidRPr="00F11329">
        <w:rPr>
          <w:rFonts w:ascii="Tahoma" w:hAnsi="Tahoma" w:cs="Tahoma"/>
          <w:b/>
          <w:sz w:val="20"/>
          <w:szCs w:val="20"/>
        </w:rPr>
        <w:t>Исполнителя</w:t>
      </w: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lastRenderedPageBreak/>
        <w:t xml:space="preserve">законодательных и нормативно-правовых документов  применительно к осуществляемой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деятельности.</w:t>
      </w:r>
    </w:p>
    <w:p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обязан гарантировать, что персонал,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оказывающий Услуги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374C26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:rsidR="00374C26" w:rsidRPr="003D23D3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Прежде чем приступить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на Объекте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должен выполнить следующие мероприятия:</w:t>
      </w:r>
    </w:p>
    <w:p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Пройти вводный инструктаж по ППБ, ОТ и Э, проводимый представителем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, предусмотренный требованиями законодательства.</w:t>
      </w:r>
    </w:p>
    <w:p w:rsidR="00374C26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374C26" w:rsidRPr="003D23D3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вправе возражать против использования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и требовать от него отстранения от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или к выполнению иных работ только по письменному разрешению Заказчика. </w:t>
      </w: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3D23D3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>обязан:</w:t>
      </w:r>
    </w:p>
    <w:p w:rsidR="00374C26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к </w:t>
      </w:r>
      <w:r w:rsidR="00FA096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(отстранить от работы)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374C26" w:rsidRPr="00200618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374C26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не допускается на рабочее место.</w:t>
      </w:r>
    </w:p>
    <w:p w:rsidR="00374C26" w:rsidRPr="003D23D3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может, осуществляется любым из нижеперечисленных способов: 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медицинским осмотром или освидетельствованием; 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актами, составленными работниками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(третьего лица); 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письменными объяснениями работников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(третьих лиц), </w:t>
      </w:r>
    </w:p>
    <w:p w:rsidR="00374C26" w:rsidRPr="005177F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другими способами.</w:t>
      </w:r>
    </w:p>
    <w:p w:rsidR="00374C26" w:rsidRPr="003D23D3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имеет право в любое время проверять исполнение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(третьих лиц) в состоянии опьянения,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опьянения или отсутствия такового.</w:t>
      </w: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3D23D3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Текущие проверки</w:t>
      </w: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ходе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организовываются и проводятся периодические проверки соответствия деятельности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требованиям безопасности.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требуется проведение следующих видов проверок: </w:t>
      </w:r>
    </w:p>
    <w:p w:rsidR="00374C26" w:rsidRPr="000356D9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-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Внутренние проверки – организуются и проводятся внутри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 силами собственных специалистов по ПБ и ОТ. Порядок проведения проверок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вправе определить самостоятельно, по результатам проверки должен составляться отчёт (акт), копия которого направляется  </w:t>
      </w:r>
      <w:r w:rsidR="00374C26" w:rsidRPr="000356D9">
        <w:rPr>
          <w:rFonts w:ascii="Tahoma" w:eastAsia="Times New Roman" w:hAnsi="Tahoma" w:cs="Tahoma"/>
          <w:color w:val="000000"/>
          <w:sz w:val="20"/>
          <w:szCs w:val="20"/>
        </w:rPr>
        <w:t>в филиал Заказчика, а именно в «Филиал РПИП»</w:t>
      </w:r>
      <w:r w:rsidR="00374C26" w:rsidRPr="000356D9">
        <w:rPr>
          <w:rFonts w:ascii="Tahoma" w:eastAsia="Times New Roman" w:hAnsi="Tahoma" w:cs="Tahoma"/>
          <w:sz w:val="20"/>
          <w:szCs w:val="20"/>
        </w:rPr>
        <w:t>.</w:t>
      </w:r>
    </w:p>
    <w:p w:rsidR="00374C26" w:rsidRPr="00200618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1D4FD0">
        <w:rPr>
          <w:rFonts w:ascii="Tahoma" w:eastAsia="Times New Roman" w:hAnsi="Tahoma" w:cs="Tahoma"/>
          <w:sz w:val="20"/>
          <w:szCs w:val="20"/>
          <w:lang w:eastAsia="ru-RU"/>
        </w:rPr>
        <w:t xml:space="preserve">Внешние проверки оказания Услуг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Исполнителем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Ответственные дежурные по ОТ  -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строительно</w:t>
      </w:r>
      <w:proofErr w:type="spell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–монтажных и пуско-наладочных работ по акту-допуску. </w:t>
      </w:r>
    </w:p>
    <w:p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(третьих лиц)  - 1 раз в неделю при проведении  работы в рамках подготовки к ежемесячному Дню ОТ.</w:t>
      </w:r>
    </w:p>
    <w:p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филиала и структурных подразделений, 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специалисты по ПБ и ОТ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в руководителями участка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третьего лица- 1 раз в месяц при проведении Дня ОТ.</w:t>
      </w:r>
    </w:p>
    <w:p w:rsidR="00374C26" w:rsidRPr="000356D9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Периодичность проверок 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проверках принимают участие: специалисты по ПБ и ОТ филиала,  представитель участка предприятия, где </w:t>
      </w:r>
      <w:r w:rsidR="001D4FD0">
        <w:rPr>
          <w:rFonts w:ascii="Tahoma" w:eastAsia="Times New Roman" w:hAnsi="Tahoma" w:cs="Tahoma"/>
          <w:sz w:val="20"/>
          <w:szCs w:val="20"/>
        </w:rPr>
        <w:t>оказываются Услуги.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должны присутствовать в качестве сопровождающих. 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ходе проведения проверки должно быть проверено: реализация требований Договора, «Плана по ПБ и ОТ»,  соблюдение законодательных и нормативных 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ходе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организовываются и проводятся совместные совещания по анализу соблюдения </w:t>
      </w:r>
      <w:r w:rsidR="001D5B9A">
        <w:rPr>
          <w:rFonts w:ascii="Tahoma" w:eastAsia="Times New Roman" w:hAnsi="Tahoma" w:cs="Tahoma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требований ПБ и ОТ. Совещания должны проводиться регулярно в процессе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, но не реже одного раза в месяц при проведении  совещаний по результатам Дней ОТ. Обязательно участие в совещаниях соответствующих ответственных лиц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и филиала Заказчика.</w:t>
      </w: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отчетности</w:t>
      </w:r>
    </w:p>
    <w:p w:rsidR="00374C26" w:rsidRPr="00AB083E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представляет ежемесячный отчет по установленным формам о результатах работы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в области ПБ и ОТ за предыдущий отчетный период в отношении безопасности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оказываемых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. Отчёт предоставляется в срок до 5-го числа месяца следующего за отчетным периодом. Если иное не согласовано Сторонами, в такой отчет включаются следующее: 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несчастные случаи (если таковые произошли);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дорожно-транспортные происшествия, относящиеся к тому периоду времени, когда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Исполнитель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оказывал Услуги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для Заказчика;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другие события, о которых необходимо сообщать уполномоченным компетентным государственным органам;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оценочное общее количество рабочих часов, отработанных персоналом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, общее число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поощрениях и взысканиях по промышленной безопасности и охране труда;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сведения о потенциально опасных ситуациях, возникавших в процессе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.</w:t>
      </w:r>
    </w:p>
    <w:p w:rsidR="00374C26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дополнение к представлению отчёта,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374C26" w:rsidRPr="005177FC" w:rsidRDefault="00374C26" w:rsidP="00F11329">
      <w:pPr>
        <w:pStyle w:val="a3"/>
        <w:widowControl w:val="0"/>
        <w:tabs>
          <w:tab w:val="num" w:pos="1134"/>
        </w:tabs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>Требования к профпригодности персонала по состоянию здоровья</w:t>
      </w:r>
    </w:p>
    <w:p w:rsidR="00374C26" w:rsidRPr="00571F49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работники, направленные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обязан предоставить соответствующие документы,  подтверждающие о проведение медицинских осмотров работников Заказчику по запросу. </w:t>
      </w:r>
    </w:p>
    <w:p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Состояние мест </w:t>
      </w:r>
      <w:r w:rsidR="00FA096F" w:rsidRPr="00F11329">
        <w:rPr>
          <w:rFonts w:ascii="Tahoma" w:hAnsi="Tahoma" w:cs="Tahoma"/>
          <w:b/>
          <w:sz w:val="20"/>
          <w:szCs w:val="20"/>
        </w:rPr>
        <w:t>оказания Услуг</w:t>
      </w:r>
    </w:p>
    <w:p w:rsidR="00374C26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обеспечивает, чтобы все работники, предоставленные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для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.</w:t>
      </w:r>
    </w:p>
    <w:p w:rsidR="00374C26" w:rsidRPr="00571F49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По завершении 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незамедлительно удаляет и вывозит с места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оборудованию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эффективного и безопасного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а также исключения простоев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Использование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оборудование, используемое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поддерживаться в безопасном, рабочем состоянии.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Размещение оборудования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заранее согласовывается с представителем Заказчика. 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Работники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374C26" w:rsidRPr="00571F49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Охрана окружающей среды</w:t>
      </w:r>
    </w:p>
    <w:p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. Обязанности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374C26" w:rsidRPr="00571F49" w:rsidRDefault="00374C26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В случае нару</w:t>
      </w:r>
      <w:r>
        <w:rPr>
          <w:rFonts w:ascii="Tahoma" w:eastAsia="Times New Roman" w:hAnsi="Tahoma" w:cs="Tahoma"/>
          <w:kern w:val="32"/>
          <w:sz w:val="20"/>
          <w:szCs w:val="20"/>
        </w:rPr>
        <w:t xml:space="preserve">шения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>
        <w:rPr>
          <w:rFonts w:ascii="Tahoma" w:eastAsia="Times New Roman" w:hAnsi="Tahoma" w:cs="Tahoma"/>
          <w:kern w:val="32"/>
          <w:sz w:val="20"/>
          <w:szCs w:val="20"/>
        </w:rPr>
        <w:t xml:space="preserve"> положений п.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13.2.16 настоящего Договора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Заказчик вправе уведомить о таком нарушении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оказание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вызванных таким расторжением. </w:t>
      </w:r>
    </w:p>
    <w:p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уборку с объектов Заказчика всех производственных отходов, в том числе:</w:t>
      </w:r>
    </w:p>
    <w:p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  <w:r w:rsidR="00F11329"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 xml:space="preserve">Порядок обращения с образующимися отходами определяется в Договоре.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sz w:val="20"/>
          <w:szCs w:val="20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374C26" w:rsidRPr="00571F49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любых обстоятельствах обязан: </w:t>
      </w:r>
    </w:p>
    <w:p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принимать меры к сокращению количества отходов;</w:t>
      </w:r>
    </w:p>
    <w:p w:rsidR="00312BD8" w:rsidRPr="000207D9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312BD8" w:rsidRPr="00893893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93893">
        <w:rPr>
          <w:rFonts w:ascii="Tahoma" w:hAnsi="Tahoma" w:cs="Tahoma"/>
          <w:b/>
          <w:sz w:val="20"/>
          <w:szCs w:val="20"/>
        </w:rPr>
        <w:t>ПОДПИСИ СТОРОН:</w:t>
      </w:r>
    </w:p>
    <w:p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312BD8" w:rsidRPr="00893893" w:rsidTr="00341551">
        <w:trPr>
          <w:trHeight w:val="71"/>
        </w:trPr>
        <w:tc>
          <w:tcPr>
            <w:tcW w:w="4786" w:type="dxa"/>
          </w:tcPr>
          <w:p w:rsidR="00312BD8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352397151" w:edGrp="everyone" w:colFirst="0" w:colLast="0"/>
            <w:permStart w:id="2010938639" w:edGrp="everyone" w:colFirst="1" w:colLast="1"/>
            <w:permStart w:id="1764757717" w:edGrp="everyone" w:colFirst="2" w:colLast="2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Исполнитель   </w:t>
            </w:r>
          </w:p>
          <w:p w:rsidR="00EE63A0" w:rsidRPr="00893893" w:rsidRDefault="00EE63A0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12BD8" w:rsidRPr="00893893" w:rsidRDefault="00EE63A0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</w:p>
          <w:p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4903" w:type="dxa"/>
          </w:tcPr>
          <w:p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Заказчик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</w:t>
            </w:r>
            <w:r w:rsidR="00EE63A0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proofErr w:type="spellStart"/>
            <w:r w:rsidR="00EE63A0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="00EE63A0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12BD8" w:rsidRPr="00893893" w:rsidRDefault="00522F09" w:rsidP="0023729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bookmarkStart w:id="3" w:name="_GoBack"/>
            <w:bookmarkEnd w:id="3"/>
          </w:p>
        </w:tc>
      </w:tr>
      <w:permEnd w:id="352397151"/>
      <w:permEnd w:id="2010938639"/>
      <w:permEnd w:id="1764757717"/>
    </w:tbl>
    <w:p w:rsidR="00312BD8" w:rsidRDefault="00312BD8" w:rsidP="000207D9"/>
    <w:sectPr w:rsidR="00312BD8" w:rsidSect="00F113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374C26"/>
    <w:rsid w:val="000207D9"/>
    <w:rsid w:val="001D4FD0"/>
    <w:rsid w:val="001D5B9A"/>
    <w:rsid w:val="001F3723"/>
    <w:rsid w:val="0023729A"/>
    <w:rsid w:val="002B58E9"/>
    <w:rsid w:val="00312BD8"/>
    <w:rsid w:val="00374C26"/>
    <w:rsid w:val="00386FB8"/>
    <w:rsid w:val="003C465F"/>
    <w:rsid w:val="003E711C"/>
    <w:rsid w:val="00522F09"/>
    <w:rsid w:val="00524731"/>
    <w:rsid w:val="00572955"/>
    <w:rsid w:val="0079322A"/>
    <w:rsid w:val="009D208C"/>
    <w:rsid w:val="00B01850"/>
    <w:rsid w:val="00E66081"/>
    <w:rsid w:val="00EA672A"/>
    <w:rsid w:val="00EE63A0"/>
    <w:rsid w:val="00F11329"/>
    <w:rsid w:val="00FA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E9BB"/>
  <w15:docId w15:val="{AB10DD79-0373-4C4C-859A-7EBC3E33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697487-46FF-4EE0-8221-B70B2BF61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F56C3-7A40-47C5-86B6-37C8662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2582</Words>
  <Characters>14723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Неманова Светлана Владимировна</cp:lastModifiedBy>
  <cp:revision>11</cp:revision>
  <dcterms:created xsi:type="dcterms:W3CDTF">2019-10-30T06:56:00Z</dcterms:created>
  <dcterms:modified xsi:type="dcterms:W3CDTF">2023-09-27T13:27:00Z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